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2021/205 vom 12. Dezember 2021</w:t>
      </w:r>
    </w:p>
    <w:p>
      <w:r>
        <w:t>Sg Verwaltungsgericht, 2021-12-12, DE</w:t>
      </w:r>
    </w:p>
    <w:p>
      <w:r>
        <w:rPr>
          <w:b/>
        </w:rPr>
        <w:t xml:space="preserve">Quelle: </w:t>
      </w:r>
      <w:r>
        <w:t>https://mcp.opencaselaw.ch/entscheid/sg_publikationen_B 2021_205</w:t>
      </w:r>
    </w:p>
    <w:p>
      <w:r>
        <w:t>FR: SG_VERWALTUNGSGERICHT B 2021/205 du 12 décembre 2021</w:t>
      </w:r>
    </w:p>
    <w:p>
      <w:r>
        <w:t>IT: SG_VERWALTUNGSGERICHT B 2021/205 del 12 dicembre 2021</w:t>
      </w:r>
    </w:p>
    <w:p>
      <w:pPr>
        <w:pStyle w:val="Heading2"/>
      </w:pPr>
      <w:r>
        <w:t>Regeste</w:t>
      </w:r>
    </w:p>
    <w:p>
      <w:r>
        <w:t>Finanzielle Unterstützung im Zusammenhang mit der Covid-19-Epidemie, Art. 4 Abs. 1 und 2 der Verordnung über Härtefallmassnahmen für Unternehmen im Zusammenhang mit der Covid-19-Epidemie (SR 951.262), Art. 3 Abs. 1 lit. e des Gesetzes über die wirtschaftliche Unterstützung von Unternehmen sowie von durch die öffentliche Hand geführten Institutionen der familienergänzenden Kinderbetreuung in Zusammenhang mit der Covid-19-Epidemie (sGS 571.3). Den Kantonen ist es erlaubt, für die Anspruchsberechtigung zusätzliche Kriterien zu den bundesrechtlichen Vorgaben aufzustellen. Das Kriterium der Überschuldung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Behebung der per 31. Dezember 2019 bestehenden Überschuldung mittels Forderungsverzichten und Rangrücktritten wurde von der Beschwerdeführerin vorliegend nicht erbracht. Abweisung der Beschwerde (Verwaltungsgericht, B 2021/205). Auf eine gegen dieses Urteil erhobene Beschwerde trat das Bundesgericht mit Urteil vom 28. September 2022 nicht ein (Verfahren 2C_8/2022).</w:t>
      </w:r>
    </w:p>
    <w:p>
      <w:pPr>
        <w:pStyle w:val="Heading2"/>
      </w:pPr>
      <w:r>
        <w:t>Volltext</w:t>
      </w:r>
    </w:p>
    <w:p>
      <w:r>
        <w:t>Entscheid vom 12. Dezember 2021 Besetzung Abteilungspräsident Eugster; Verwaltungsrichterin Reiter, Verwaltungsrichter Zogg; Gerichtsschreiberin Schmid Etter Verfahrensbeteiligte A.__ GmbH, Beschwerdeführerin, gegen Volkswirtschaftsdepartement des Kantons St. Gallen, Davidstrasse 35, 9001 St. Gallen, Vorinstanz, Gegenstand Finanzielle Unterstützung in Zusammenhang mit der Covid-19-Epidemie Das Verwaltungsgericht stellt fest: Die A.__ GmbH mit Sitz in X.__ bezweckt hauptsächlich die Führung gastronomischer Betriebe und die Organisation und Durchführung von Veranstaltungen (www.zefix.ch). Sie betreibt das Restaurant A.__ in X.__. Mit Gesuch vom 27. Januar 2021 beantragte die Gesellschaft eine finanzielle Härtefallunterstützung im Zusammenhang mit der Covid-19-Epidemie in der Höhe von CHF 51'000. Mit Schreiben vom 4. März 2021 teilte das Amt für Wirtschaft und Arbeit der Gesuchstellerin mit, dass die gesetzlichen Voraussetzungen für eine finanzielle Unterstützung nicht erfüllt seien, da die Gesellschaft per Ende 2019 überschuldet gewesen sei. Mit Eingabe vom 8. März 2021 verlangte die A.__ GmbH eine beschwerdefähige Verfügung. Nach weiteren Abklärungen verlangte die Gesuchstellerin abermals eine anfechtbare Verfügung. Mit Eingabe vom 7. September 2021 erhob sie beim Verwaltungsgericht Beschwerde wegen Rechtsverzögerung und -verweigerung. Mit Verfügung vom 8. September 2021 wies das Volkswirtschaftsdepartement des Kantons St. Gallen, vertreten durch das Amt für Wirtschaft, das Gesuch um wirtschaftliche Unterstützung im Zusammenhang mit der Covid-19-Epidemie ab. Zur Begründung wurde ausgeführt, dass per 31. Dezember 2019 eine Überschuldung vorliege und nicht nachgewiesen sei, dass diese mittlerweile saniert sei. Die Gebühr für die Verfügung wurde auf CHF 250 festgesetzt (act. 2). Das Verfahren betreffend Rechtsverweigerung und -verzögerung wurde mit Präsidialverfügung des Verwaltungsgerichts vom 14. September 2021 wegen Gegenstandslosigkeit als erledigt abgeschrieben (Verfahren B 2021/200). Mit Eingabe vom 16. September 2021 erhob die A.__ GmbH (Beschwerdeführerin) Beschwerde gegen die ablehnende Verfügung des Volkswirtschaftsdepartements (Vorinstanz) mit den Anträgen, die Vorinstanz sei anzuweisen, ihr ohne Verzug eine Härtefallunterstützung in der Höhe von CHF 51'000 auszuzahlen, eventualiter sei die Vorinstanz anzuweisen, ihr eine Härtefallunterstützung nach Ermessen des Gerichts auszuzahlen, subeventualiter sei die Streitsache unter Ansetzung einer Erledigungsfrist zur Vornahme weiterer Abklärungen an die Vorinstanz zurückzuweisen, unter Kosten- und Entschädigungsfolge. Auf die Erhebung eines Kostenvorschusses wurde seitens des Gerichtes vorläufig verzichtet. Mit Vernehmlassung vom 8. Oktober 2021 beantragte die Vorinstanz die Abweisung der Beschwerde. Die Beschwerdeführerin reichte am 21. Oktober 2021 eine weitere Stellungnahme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16. September 2021 rechtzeitig erhoben. Entgegen der Ansicht der Beschwerdeführerin handelt es sich um ein kantonalrechtliches Verfahren, weshalb die Beschwerdefrist gestützt auf Art. 64 in Verbindung mit Art. 47 Abs. 1 VRP 14 Tage beträgt. Das Bundesgesetz über das Verwaltungsverfahren (SR 172.021, VwVG) ist nicht anwendbar). Die Beschwerdeeingabe erfüllt formal wie inhaltlich die gesetzlichen Anforderungen (Art. 64 in Verbindung mit Art. 48 Abs. 1 VRP). Auf die Beschwerde ist einzutreten. Die Beschwerdeführerin wirft der Vorinstanz eine unzulässige Rechtsverzögerung vor, ohne jedoch einen formellen Antrag auf Feststellung einer solchen oder Massregelung der Vorinstanz zu stellen. Die Beschwerdeführerin führt aus, sie habe am 8. März 2021 eine anfechtbare Verfügung verlangt. Bis zu deren Erlass seien trotz mehrfacher Nachfrage sechs Monate vergangen, was angesichts der berechtigten finanziellen Interessen in der Notlage höchst befremdlich sei und eine krasse Verletzung des Beschleunigungsgebots darstelle, insbesondere auch vor dem Hintergrund der Äusserung der Vorinstanz, dass sich unabhängig von der Qualität der Rangrücktritte an der Überschuldung nichts ändere. Gemäss Art. 29 Abs. 1 der Bundesverfassung der Schweizerischen Eidgenossenschaft (SR 101,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G. Steinmann, in: Ehrenzeller/Schindler/ Schweizer/Vallender [Hrsg.], St. Galler Kommentar zur Schweizerischen Bundesverfassung, 3. Aufl. 2014, N 22 ff. zu Art. 29 BV, BGE 135 I 265 E. 4.4). Innerhalb dieses Kreises ist auf den Umfang und die Komplexität der aufgeworfenen Sachverhalts- und Rechtsfragen abzustellen. Von den Behörden kann zudem nicht verlangt werden, dass sie sich ständig einem einzigen Fall widmen. Nach Abschluss des Verfahrens kann eine nachträglich durch die Rechtsmittelinstanz konstatierte Rechtsverzögerung nicht mehr beseitigt werden. In diesem Fall fällt die blosse Feststellung als Wiedergutmachung in Betracht (Steinmann, a.a.O., N 25 f. zu Art. 29 BV). Die Rechtsverzögerung kann und soll im Dispositiv förmlich festgestellt werden. Darüber hinaus kann der Verfassungsverletzung mit einer vorteilhaften Kostenregelung Rechnung getragen werden (BGE 138 II 513 E. 6.5, BGer 1C_370/2013 vom 14. Oktober 2013 E. 6). Nachdem das Amt für Wirtschaft mit Schreiben vom 4. März 2021 mitgeteilt hatte, dass das Gesuch um Härtefallmassnahmen abgewiesen werden müsse, beantragte die Beschwerdeführerin am 8. März 2021 eine anfechtbare Verfügung. Als sie während eines Monats nichts vernahm, fragte sie am 13. April 2021 per E-Mail nach. In der Folge versuchte die Beschwerdeführerin, den Nachweis für die Beseitigung der Überschuldung zu erbringen. Am 19. April 2021 reichte sie eine Vereinbarung über einen Forderungsverzicht und am 22. April 2021 eine Rangrücktrittserklärung ein. Mit E-Mail vom 20. Mai 2021 teilte die Vor-instanz mit, dass diese Unterlagen nicht ausreichten, um die Überschuldung zu beseitigen. Die Beschwerdeführerin nahm dazu am 22. Juni 2021 unter Einreichung weiterer Unterlagen Stellung und beantragte unverzüglich eine anfechtbare Verfügung. Als sie nichts mehr hörte, gelangte sie mit E-Mail vom 19. August 2021 erneut an die Vorinstanz. Mit Eingabe vom 7. September 2021 erhob sie beim Verwaltungsgericht Beschwerde wegen Rechtsverzögerung und -verweigerung, worauf am 8. September 2021 die anfechtbare Verfügung erlassen wurde. Seit dem Schreiben der Beschwerdeführerin vom 22. Juni 2021, worin sie um unverzüglichen Erlass einer anfechtbaren Verfügung verlangt hatte, vergingen bis zum Erlass der Verfügung rund zwei Monate. Angesichts der finanziellen Notlage, in welcher sich Restaurationsbetriebe während des Lockdown und auch noch danach befanden, erscheint eine Dauer von insgesamt sechs Monaten von der Gesuchseinreichung bis zum Erlass der Verfügung doch als eher lang. Der Beschwerdeführerin wurde vor dem Erlass der Verfügung indes die Möglichkeit eingeräumt, die zwischenzeitliche Beseitigung der Überschuldung nachzuweisen, was in ihrem Interesse lag. Sie reichte dazu mehrere Dokumente ein, die es zu prüfen galt. Dabei stand nicht von Vornherein fest, dass diese an der Überschuldung nichts zu ändern vermöchten. Ferner ist zu berücksichtigen, dass bei der Vorinstanz insgesamt über 1'900 Gesuche um Härtefallunterstützungen eingingen, die zu bearbeiten waren und von denen rund 1'500 ganz oder teilweise gutgeheissen wurden. Grundsätzlich ist eine hohe Zahl an Verfahren kein Grund für eine längere Verfahrensdauer, da sich der Staat entsprechend zu organisieren hat. Angesichts der ausserordentlichen Lage war jedoch nicht im Voraus absehbar, wie viele Gesuche innert welcher Zeit eingereicht werden würden. Die nach der Einreichung weiterer Unterlagen für die Ausfertigung der Verfügung beanspruchte Zeitspanne von zwei Monaten mag aus Sicht der Gesuchstellerin begreiflicherweise lang erscheinen, kann im Lichte der Gesamtsituation aber noch nicht als Rechtsverzögerung beanstandet werden. Die Beschwerdeführerin rügt im Wesentlichen, die beiden Lockdown-Phasen hätten ihre Existenz nachhaltig bedroht. Mit den Härtefallgeldern habe sie den Lockdown überstehen und die weiterhin anfallenden Kosten tilgen wollen. Gemäss den massgebenden bundesrechtlichen Bestimmungen habe das Kriterium der Überschuldung keine Relevanz. Art. 3 des kantonalen Covid-Gesetzes stehe im Widerspruch zu Art. 4 der Covid-19-Härtefallverordnung. Das Bundesrecht gehe vor. Die Grundzüge der Anspruchsberechtigung seien durch den Bund als Mindeststandard vorgegeben, der Kanton könne sich darüber nicht mit einer eigenen restriktiveren Gesetzgebung hinwegsetzen. Ihr Unternehmen gelte gestützt auf die bundesrechtlichen Bestimmungen klar als profitabel. Die bundesrechtlich verordneten Lockdowns stellten sodann zeitlich befristete materielle Enteignungen dar. Ihr sei es untersagt gewesen, den Gastrobetrieb zu führen und damit Umsatz zu erzielen. Ihr wirtschaftliches Fortkommen sei beschnitten worden. Dies führe zu einer zwingenden Entschädigungspflicht des Staates. Der Vorinstanz stehe keine Kompetenz zu, um über den Nachlass oder Konkurs eines Unternehmens zu befinden. Der Versicherungsstreit mit der Gesellschaft Y zeige eindrücklich, wie sie sich für ihre Interessen einsetze und dass sie ihren wirtschaftlichen Fortbestand unbedingt sichern wolle. Der Kanton St. Gallen sei bekannt für seine äusserst rigide Haltung bei der Ausrichtung von Härtefallgeldern. Andere Kantone, z.B. Zürich und Thurgau, seien weitaus grosszügiger.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(SR 951.262,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7/11,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Gemäss Art. 3 Abs. 1 des Gesetzes über die wirtschaftliche Unterstützung von Unternehmen sowie von durch die öffentliche Hand geführten öffentlichen Institutionen der familienergänzenden Kinderbetreuung in Zusammenhang mit der Covid-19-Epidemie (sGS 571.3, kantonales Covid-Gesetz) kann der Kanton Unternehmen unter gewissen Voraussetzungen Härtefallmassnahmen, darunter auch nicht rückzahlbare Beiträge, gewähren. Die Unternehmen können keinen Anspruch auf Finanzhilfen geltend machen (Art. 5 Abs. 3 des kantonalen Covid-Gesetzes). Die Härtefallmassnahmen sind begrenzt auf die Mittel des Bundes, die er für Härtefallmass-nahmen bereitstellt, und jene des Kantons, die maximal 95 Millionen Franken betragen (Art. 2 des kantonalen Covid-Gesetzes). Das zur Verfügung stehende Gesamtvolumen an finanziellen Mitteln wie auch die Ausgestaltung als Kann-Vorschrift schränken die Rechtsansprüche auf die nicht rückzahlbaren Beiträge ein oder schliessen solche nachgerade aus. Sie zwingen die Behörden zu Ermessensentscheiden, und zwar im Hinblick auf die Entscheidung, ob überhaupt eine Rechtsfolge angeordnet werden soll (sog. Entschliessungsermessen).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sein Ermessen nicht anstelle desjenigen der Vorinstanz zu setzen, sondern deren Entscheid mit einer gewissen Zurückhaltung zu prüfen. Nach Art. 12 Abs. 1 des Covid-19-Gesetzes kann der Bund auf Antrag eines oder mehrerer Kantone Massnahmen für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Hauptzweck der Covid-19-Härtefallverordnung ist es zu definieren,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Ziffer 2 der Erläuterungen EFV). Der Kanton St. Gallen hat für die Ausgestaltung der Härtefallmassnahmen auf Grundlage der bundesrechtlichen Bestimmungen gemäss Covid-19-Gesetz und Covid-19-Härtefallverordnung das kantonale Covid-Gesetz erlassen. Nach Art. 3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Unbestritten ist, dass die Beschwerdeführerin die Voraussetzungen gemäss Art. 2 ff. der Covid-19-Härtefallverordnung wie auch Art. 3 Abs. 1 lit. b und c des kantonalen Covid-Gesetzes zum Zeitpunkt der Gründung des Unternehmens, zur Umsatzhöhe, zum Umsatzrückgang und zur Anzahl Stellenprozente erfüllt. Fest steht ferner, dass sie der anspruchsberechtigten Branche der Gastronomie angehört. Als zwischen dem 1. November 2020 und 30. Juni 2021 für insgesamt mindestens 40 Tage behördlich geschlossener Betrieb (Typ 3-Unternehmen) entfällt der Nachweis eines Umsatzrückgangs von mindestens 40 Prozent sowie von ungedeckten Fixkosten. Umstritten ist indessen, ob die Beschwerdeführerin als überlebensfähig im Sinn der massgebenden gesetzlichen Bestimmungen gilt. Die bundesrechtlichen Voraussetzungen von Art. 4 Abs. 2 der Covid-19-Härtefallverordnung werden von ihr erfüllt. Sie befindet sich weder in Konkurs noch in Liquidation. Es ist auch kein Bertreibungsverfahren hängig, weder für Sozialversicherungsbeiträge noch für Steuerforderungen. Art. 3 Abs. 1 lit. e des kantonalen Covid-Gesetzes schreibt jedoch zusätzlich vor, dass die Gesellschaft per 31. Dezember 2019 nicht überschuldet gewesen sein darf. Entgegen der Ansicht der Beschwerdeführerin ist es – wie eingangs dargelegt – den Kantonen erlaubt, zusätzliche Kriterien für die Anspruchsberechtigung aufzustellen. Die Rüge, andere Kantone seien grosszügiger, erweist sich daher von Vornherein nicht als stichhaltig. Das Kriterium der Überschuldung erweist sich gerade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Dass letzteres bei der Beschwerdeführerin per 31. Dezember 2019 zutraf, wird von ihr ausdrücklich anerkannt (act. 7/4.1). Ihre Bilanz, die sich über den Zeitraum seit Aufnahme ihrer Tätigkeit im April 2018 bis Ende 2019 erstreckt, weist Aktiven von CHF 47'701.10 und Passiven (Fremdkapital) von CHF 72'650.92 aus (act. 7/1.3). Das Fremdkapital ist durch die Aktiven nicht mehr gedeckt, es liegt eine Überschuldung im Umfang von CHF 24'949.82 und damit von mehr als der Hälfte der Bilanzsumme vor. Im ersten überlangen Geschäftsjahr 2018/2019 hat sie bei Einnahmen von CHF 412'597.19 und Ausgaben von CHF 457'547.01 einen Verlust von CHF 44'949.82 erwirtschaftet. Von einem profitablen Unternehmen kann daher nicht gesprochen werden. Die kurzfristigen Verbindlichkeiten der Beschwerdeführerin betrugen per 31. Dezember 2019 CHF 65'290.14. Worum es sich dabei handelt, legt die Beschwerdeführerin nicht dar. Eine Jahresrechnung für das Jahr 2020, woraus die Entwicklung der Überschuldung ersichtlich wäre, reichte sie ebenfalls nicht ein. Für den Nachweis der Beseitigung der Überschuldung stützt sich die Beschwerdeführerin auf eine Vereinbarung mit der Vermieterin R.__ AG vom 22. März 2021 (act. 7/4.4). Daraus geht hervor, dass per 30. September 2020 offene Mietzinsforderungen von CHF 46'148 bestanden. Lediglich CHF 5'484 davon betrafen das Geschäftsjahr 2019 (November und Dezember 2019). Somit handelt es sich bei den restlichen offenen kurzfristigen Verbindlichkeiten der Beschwerdeführerin per 31. Dezember 2019 in der Höhe von CHF 59'806.14 um Forderungen anderer Gläubiger. Dass jene Gläubiger inzwischen befriedigt worden wären, diese auf ihre Forderungen verzichtet oder eine entsprechende Rangrücktrittserklärung geleistet hätten und die Überschuldung damit nachträglich beseitigt worden wäre, wird von der Beschwerdeführerin nicht behauptet und lässt sich den Akten auch nicht entnehmen. Im Gegenteil verschlechterte sich die finanzielle Situation der bereits vor Ausbruch der Epidemie überschuldeten Beschwerdeführerin weiter. Obschon das Restaurant im Jahr 2020 während beinahe zehn Monaten geöffnet war und in der Zeit des Lockdown Takeaway anbot, konnte die Beschwerdeführerin vom Jahresmietzins von CHF 62'400 (12 x CHF 5'200) lediglich einen kleinen Anteil bezahlen (Ausstände per 31. Dezember 2020 CHF 40'184, act. 7/4.4, zuzüglich der erlassenen drei Mietzinse März bis Mai 2020 von CHF 15'600, act. 7/4.8). Die Forderungsverzichte vom 30. September 2020 und 22. März 2021 wie auch die Rangrücktrittserklärung vom 22. April 2021 (act. 7/4.6) betreffen lediglich diese offenen Mietzinsforderungen, die grossmehrheitlich in den Jahren 2020 und 2021 und damit nach dem 31. Dezember 2019 entstanden sind, und nicht die bereits Ende 2019 existierenden Verbindlichkeiten anderer Gläubiger in der Höhe von knapp CHF 60'000. Hinzu kommt, dass der Forderungsverzicht der Vermieterin nicht vorbehaltlos erfolgte. Die Beschwerdeführerin verpflichtete sich, eine allfällige Härtefallentschädigung oder Versicherungsleistung innerhalb von 14 Tagen nach Erhalt an die Vermieterin weiterzuleiten, womit die Forderung in jenem Umfang wieder auferstehen würde (act. 7/4.4). Der Nachweis der nachträglichen Behebung der per 31. Dezember 2019 bestehenden Überschuldung der Beschwerdeführerin ist unter diesen Umständen nicht erbracht, womit die Beschwerdeführerin die Voraussetzungen von Art. 3 Abs. 1 lit. e des kantonalen Covid-Gesetzes für die Ausrichtung eines nicht rückzahlbaren Beitrages nicht erfüllt. Insofern, als die Beschwerdeführerin eine materielle Enteignung rügt und daraus eine Entschädigung fordert, kann ihr nicht gefolgt werden. Eine Eigentumsbeschränkung, die einer Enteignung gleichkommt (vgl. Art. 26 Abs. 2 BV) liegt vor, wenn dem Eigentümer der bisherige oder ein voraussehbarer künftiger Gebrauch einer Sache untersagt oder in einer Weise eingeschränkt wird, die besonders schwer wiegt, weil ihm eine wesentliche aus dem Eigentum fliessende Befugnis entzogen wird (BGer 1C_275/2018 vom 15. Oktober 2019 E. 2.1). Die Beschwerdeführerin ist nicht Eigentümerin der Liegenschaft, in der sie ein Restaurant betreibt. Der Lockdown betraf ihren Geschäftsbetrieb, welcher jedoch keine Sache darstellt und daher nicht eigentumsrechtlich geschützt ist. Von einer materiellen Enteignung für die Dauer der behördlichen Schliessung kann daher nicht die Rede sein. Auch die Gebührenerhebung durch die Vorinstanz erweist sich als rechtmässig. Grundsätzlich ist gestützt auf Art. 94 Abs. 1 VRP für jede Amtshandlung zum eigenen Vorteil die vorgeschriebene Gebühr zu entrichten. Der Rahmen für eine Verfügung oder einen Entscheid beträgt CHF 150 bis 2'300 (Nr. 20.12 des Gebührentarifs für die Kantons- und Gemeindeverwaltung, sGS 821.5, GebT). Für den Fall eines negativen Bescheids wurde in Art. 12 Abs. 2 lit. b des kantonalen Covid-Gesetzes zugunsten der Gesuchsteller die vorgängige kostenlose Mitteilung per einfachem Brief im Sinn eines Vorbescheids vorgesehen. Erst bei ausdrücklichem Verlangen nach Erlass einer anfechtbaren Verfügung wird eine Gebühr erhoben. Die Vorinstanz teilte der Beschwerdeführerin mit Schreiben vom 4. März 2021 mit, dass ihr Antrag die Bedingungen nicht erfülle, da ein Unternehmen im Jahr 2019 nicht überschuldet sein dürfe (act. 7/3). Mit E- Mails vom 22. Juni und 19. August 2021 verlangte die Beschwerdeführerin zum wiederholten Mal ausdrücklich eine anfechtbare Verfügung (act. 7/4.8 und 4.9). Gestützt auf die gesetzlichen Grundlagen erweist sich die Gebührenerhebung als rechtmässig. Die konkrete Höhe der Gebühr von CHF 250 bewegt sich im untersten Rahmen des GebT und erweist sich als angemessen. Zusammenfassend hat die Vorinstanz zurecht verfügt, dass die Beschwerdeführerin keinen Anspruch auf finanzielle Unterstützung im Zusammenhang mit der Covid-19-Epidemie hat, und ihr die Verfahrenskosten auferlegt. Die Beschwerde ist daher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vor der Beschwerdeerhebung noch kaum Entscheide des Verwaltungsgerichts im Zusammenhang mit Härtefallmassnahmen für Unternehmen aufgrund der Covid-19-Gesetzgebung ergangen und publiziert worden sind,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